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595EA" w14:textId="77777777" w:rsidR="002B77A4" w:rsidRPr="002B77A4" w:rsidRDefault="002B77A4" w:rsidP="00B02864">
      <w:pPr>
        <w:spacing w:line="480" w:lineRule="auto"/>
        <w:jc w:val="center"/>
        <w:rPr>
          <w:rFonts w:ascii="Times New Roman" w:hAnsi="Times New Roman" w:cs="Times New Roman"/>
          <w:sz w:val="24"/>
          <w:szCs w:val="24"/>
        </w:rPr>
      </w:pPr>
    </w:p>
    <w:p w14:paraId="3D8F841E" w14:textId="77777777" w:rsidR="002B77A4" w:rsidRPr="002B77A4" w:rsidRDefault="002B77A4" w:rsidP="00B02864">
      <w:pPr>
        <w:spacing w:line="480" w:lineRule="auto"/>
        <w:jc w:val="center"/>
        <w:rPr>
          <w:rFonts w:ascii="Times New Roman" w:hAnsi="Times New Roman" w:cs="Times New Roman"/>
          <w:sz w:val="24"/>
          <w:szCs w:val="24"/>
        </w:rPr>
      </w:pPr>
    </w:p>
    <w:p w14:paraId="4A6397ED" w14:textId="77777777" w:rsidR="002B77A4" w:rsidRPr="002B77A4" w:rsidRDefault="002B77A4" w:rsidP="00B02864">
      <w:pPr>
        <w:spacing w:line="480" w:lineRule="auto"/>
        <w:jc w:val="center"/>
        <w:rPr>
          <w:rFonts w:ascii="Times New Roman" w:hAnsi="Times New Roman" w:cs="Times New Roman"/>
          <w:sz w:val="24"/>
          <w:szCs w:val="24"/>
        </w:rPr>
      </w:pPr>
    </w:p>
    <w:p w14:paraId="4145C079" w14:textId="77777777" w:rsidR="002B77A4" w:rsidRPr="002B77A4" w:rsidRDefault="002B77A4" w:rsidP="00B02864">
      <w:pPr>
        <w:spacing w:line="480" w:lineRule="auto"/>
        <w:jc w:val="center"/>
        <w:rPr>
          <w:rFonts w:ascii="Times New Roman" w:hAnsi="Times New Roman" w:cs="Times New Roman"/>
          <w:sz w:val="24"/>
          <w:szCs w:val="24"/>
        </w:rPr>
      </w:pPr>
    </w:p>
    <w:p w14:paraId="0B46C8E6" w14:textId="77777777" w:rsidR="002B77A4" w:rsidRPr="002B77A4" w:rsidRDefault="002B77A4" w:rsidP="00B02864">
      <w:pPr>
        <w:spacing w:line="480" w:lineRule="auto"/>
        <w:jc w:val="center"/>
        <w:rPr>
          <w:rFonts w:ascii="Times New Roman" w:hAnsi="Times New Roman" w:cs="Times New Roman"/>
          <w:sz w:val="24"/>
          <w:szCs w:val="24"/>
        </w:rPr>
      </w:pPr>
    </w:p>
    <w:p w14:paraId="18F806EE" w14:textId="34B1EC6C" w:rsidR="00F2791F" w:rsidRPr="002B77A4" w:rsidRDefault="001D1BCE" w:rsidP="00B02864">
      <w:pPr>
        <w:spacing w:line="480" w:lineRule="auto"/>
        <w:jc w:val="center"/>
        <w:rPr>
          <w:rFonts w:ascii="Times New Roman" w:hAnsi="Times New Roman" w:cs="Times New Roman"/>
          <w:b/>
          <w:bCs/>
          <w:sz w:val="24"/>
          <w:szCs w:val="24"/>
        </w:rPr>
      </w:pPr>
      <w:proofErr w:type="spellStart"/>
      <w:r w:rsidRPr="002B77A4">
        <w:rPr>
          <w:rFonts w:ascii="Times New Roman" w:hAnsi="Times New Roman" w:cs="Times New Roman"/>
          <w:b/>
          <w:bCs/>
          <w:sz w:val="24"/>
          <w:szCs w:val="24"/>
        </w:rPr>
        <w:t>Anandam</w:t>
      </w:r>
      <w:proofErr w:type="spellEnd"/>
      <w:r w:rsidRPr="002B77A4">
        <w:rPr>
          <w:rFonts w:ascii="Times New Roman" w:hAnsi="Times New Roman" w:cs="Times New Roman"/>
          <w:b/>
          <w:bCs/>
          <w:sz w:val="24"/>
          <w:szCs w:val="24"/>
        </w:rPr>
        <w:t xml:space="preserve"> </w:t>
      </w:r>
      <w:r w:rsidR="002B77A4" w:rsidRPr="002B77A4">
        <w:rPr>
          <w:rFonts w:ascii="Times New Roman" w:hAnsi="Times New Roman" w:cs="Times New Roman"/>
          <w:b/>
          <w:bCs/>
          <w:sz w:val="24"/>
          <w:szCs w:val="24"/>
        </w:rPr>
        <w:t>Manufacturing Industry</w:t>
      </w:r>
    </w:p>
    <w:p w14:paraId="088DABAE" w14:textId="28C7B7BD" w:rsidR="0028671E" w:rsidRPr="002B77A4" w:rsidRDefault="0028671E" w:rsidP="00B02864">
      <w:pPr>
        <w:spacing w:line="480" w:lineRule="auto"/>
        <w:jc w:val="center"/>
        <w:rPr>
          <w:rFonts w:ascii="Times New Roman" w:hAnsi="Times New Roman" w:cs="Times New Roman"/>
          <w:sz w:val="24"/>
          <w:szCs w:val="24"/>
        </w:rPr>
      </w:pPr>
    </w:p>
    <w:p w14:paraId="10E09299" w14:textId="1264AF42" w:rsidR="002B77A4" w:rsidRPr="002B77A4" w:rsidRDefault="002B77A4" w:rsidP="00B02864">
      <w:pPr>
        <w:spacing w:line="480" w:lineRule="auto"/>
        <w:jc w:val="center"/>
        <w:rPr>
          <w:rFonts w:ascii="Times New Roman" w:hAnsi="Times New Roman" w:cs="Times New Roman"/>
          <w:sz w:val="24"/>
          <w:szCs w:val="24"/>
        </w:rPr>
      </w:pPr>
    </w:p>
    <w:p w14:paraId="3BA428E1" w14:textId="23C11888" w:rsidR="002B77A4" w:rsidRPr="002B77A4" w:rsidRDefault="002B77A4" w:rsidP="00B02864">
      <w:pPr>
        <w:spacing w:line="480" w:lineRule="auto"/>
        <w:jc w:val="center"/>
        <w:rPr>
          <w:rFonts w:ascii="Times New Roman" w:hAnsi="Times New Roman" w:cs="Times New Roman"/>
          <w:sz w:val="24"/>
          <w:szCs w:val="24"/>
        </w:rPr>
      </w:pPr>
    </w:p>
    <w:p w14:paraId="41D6D640" w14:textId="56E2A1A1" w:rsidR="002B77A4" w:rsidRPr="002B77A4" w:rsidRDefault="002B77A4" w:rsidP="00B02864">
      <w:pPr>
        <w:spacing w:line="480" w:lineRule="auto"/>
        <w:jc w:val="center"/>
        <w:rPr>
          <w:rFonts w:ascii="Times New Roman" w:hAnsi="Times New Roman" w:cs="Times New Roman"/>
          <w:sz w:val="24"/>
          <w:szCs w:val="24"/>
        </w:rPr>
      </w:pPr>
      <w:r w:rsidRPr="002B77A4">
        <w:rPr>
          <w:rFonts w:ascii="Times New Roman" w:hAnsi="Times New Roman" w:cs="Times New Roman"/>
          <w:color w:val="263238"/>
          <w:sz w:val="24"/>
          <w:szCs w:val="24"/>
        </w:rPr>
        <w:t>Student’s Name</w:t>
      </w:r>
      <w:r w:rsidRPr="002B77A4">
        <w:rPr>
          <w:rFonts w:ascii="Times New Roman" w:hAnsi="Times New Roman" w:cs="Times New Roman"/>
          <w:color w:val="263238"/>
          <w:sz w:val="24"/>
          <w:szCs w:val="24"/>
        </w:rPr>
        <w:br/>
        <w:t>Department, University</w:t>
      </w:r>
      <w:r w:rsidRPr="002B77A4">
        <w:rPr>
          <w:rFonts w:ascii="Times New Roman" w:hAnsi="Times New Roman" w:cs="Times New Roman"/>
          <w:color w:val="263238"/>
          <w:sz w:val="24"/>
          <w:szCs w:val="24"/>
        </w:rPr>
        <w:br/>
        <w:t>Course Number and Name</w:t>
      </w:r>
      <w:r w:rsidRPr="002B77A4">
        <w:rPr>
          <w:rFonts w:ascii="Times New Roman" w:hAnsi="Times New Roman" w:cs="Times New Roman"/>
          <w:color w:val="263238"/>
          <w:sz w:val="24"/>
          <w:szCs w:val="24"/>
        </w:rPr>
        <w:br/>
        <w:t>Instructor’s Name</w:t>
      </w:r>
      <w:r w:rsidRPr="002B77A4">
        <w:rPr>
          <w:rFonts w:ascii="Times New Roman" w:hAnsi="Times New Roman" w:cs="Times New Roman"/>
          <w:color w:val="263238"/>
          <w:sz w:val="24"/>
          <w:szCs w:val="24"/>
        </w:rPr>
        <w:br/>
        <w:t>Date </w:t>
      </w:r>
    </w:p>
    <w:p w14:paraId="3DFFD4C1" w14:textId="77777777" w:rsidR="0028671E" w:rsidRPr="002B77A4" w:rsidRDefault="001D1BCE" w:rsidP="00B02864">
      <w:pPr>
        <w:spacing w:line="480" w:lineRule="auto"/>
        <w:rPr>
          <w:rFonts w:ascii="Times New Roman" w:hAnsi="Times New Roman" w:cs="Times New Roman"/>
          <w:sz w:val="24"/>
          <w:szCs w:val="24"/>
        </w:rPr>
      </w:pPr>
      <w:r w:rsidRPr="002B77A4">
        <w:rPr>
          <w:rFonts w:ascii="Times New Roman" w:hAnsi="Times New Roman" w:cs="Times New Roman"/>
          <w:sz w:val="24"/>
          <w:szCs w:val="24"/>
        </w:rPr>
        <w:br w:type="page"/>
      </w:r>
    </w:p>
    <w:p w14:paraId="1A91BFD7" w14:textId="319DE2E6" w:rsidR="0029527B" w:rsidRPr="002B77A4" w:rsidRDefault="0029527B" w:rsidP="0029527B">
      <w:pPr>
        <w:spacing w:line="480" w:lineRule="auto"/>
        <w:jc w:val="center"/>
        <w:rPr>
          <w:rFonts w:ascii="Times New Roman" w:hAnsi="Times New Roman" w:cs="Times New Roman"/>
          <w:b/>
          <w:bCs/>
          <w:sz w:val="24"/>
          <w:szCs w:val="24"/>
        </w:rPr>
      </w:pPr>
      <w:proofErr w:type="spellStart"/>
      <w:r w:rsidRPr="002B77A4">
        <w:rPr>
          <w:rFonts w:ascii="Times New Roman" w:hAnsi="Times New Roman" w:cs="Times New Roman"/>
          <w:b/>
          <w:bCs/>
          <w:sz w:val="24"/>
          <w:szCs w:val="24"/>
        </w:rPr>
        <w:lastRenderedPageBreak/>
        <w:t>Anandam</w:t>
      </w:r>
      <w:proofErr w:type="spellEnd"/>
      <w:r w:rsidRPr="002B77A4">
        <w:rPr>
          <w:rFonts w:ascii="Times New Roman" w:hAnsi="Times New Roman" w:cs="Times New Roman"/>
          <w:b/>
          <w:bCs/>
          <w:sz w:val="24"/>
          <w:szCs w:val="24"/>
        </w:rPr>
        <w:t xml:space="preserve"> </w:t>
      </w:r>
      <w:r w:rsidR="002B77A4" w:rsidRPr="002B77A4">
        <w:rPr>
          <w:rFonts w:ascii="Times New Roman" w:hAnsi="Times New Roman" w:cs="Times New Roman"/>
          <w:b/>
          <w:bCs/>
          <w:sz w:val="24"/>
          <w:szCs w:val="24"/>
        </w:rPr>
        <w:t>Manufacturing Industry</w:t>
      </w:r>
    </w:p>
    <w:p w14:paraId="647958C5" w14:textId="77777777" w:rsidR="0028671E" w:rsidRPr="002B77A4" w:rsidRDefault="001D1BCE" w:rsidP="00B02864">
      <w:pPr>
        <w:spacing w:line="480" w:lineRule="auto"/>
        <w:ind w:firstLine="720"/>
        <w:rPr>
          <w:rFonts w:ascii="Times New Roman" w:hAnsi="Times New Roman" w:cs="Times New Roman"/>
          <w:sz w:val="24"/>
          <w:szCs w:val="24"/>
        </w:rPr>
      </w:pPr>
      <w:r w:rsidRPr="002B77A4">
        <w:rPr>
          <w:rFonts w:ascii="Times New Roman" w:hAnsi="Times New Roman" w:cs="Times New Roman"/>
          <w:sz w:val="24"/>
          <w:szCs w:val="24"/>
        </w:rPr>
        <w:t>For a business to continue serving the market and keeping up with its competitors, the idea of financial stability is inevitable. The enterprise must be able to cover up its debts by having a more substantial asset value. This is possible when the revenues of the business are positive (Ayadi, 2019). Many firms have gone bankrupt of the failure of rigorous market analysis. The market the entity inte</w:t>
      </w:r>
      <w:r w:rsidR="00885793" w:rsidRPr="002B77A4">
        <w:rPr>
          <w:rFonts w:ascii="Times New Roman" w:hAnsi="Times New Roman" w:cs="Times New Roman"/>
          <w:sz w:val="24"/>
          <w:szCs w:val="24"/>
        </w:rPr>
        <w:t>nds to serve is directly connected</w:t>
      </w:r>
      <w:r w:rsidRPr="002B77A4">
        <w:rPr>
          <w:rFonts w:ascii="Times New Roman" w:hAnsi="Times New Roman" w:cs="Times New Roman"/>
          <w:sz w:val="24"/>
          <w:szCs w:val="24"/>
        </w:rPr>
        <w:t xml:space="preserve"> to the prosperity of the firm. The market must be favorable to the business operation</w:t>
      </w:r>
      <w:r w:rsidR="00885793" w:rsidRPr="002B77A4">
        <w:rPr>
          <w:rFonts w:ascii="Times New Roman" w:hAnsi="Times New Roman" w:cs="Times New Roman"/>
          <w:sz w:val="24"/>
          <w:szCs w:val="24"/>
        </w:rPr>
        <w:t>s</w:t>
      </w:r>
      <w:r w:rsidRPr="002B77A4">
        <w:rPr>
          <w:rFonts w:ascii="Times New Roman" w:hAnsi="Times New Roman" w:cs="Times New Roman"/>
          <w:sz w:val="24"/>
          <w:szCs w:val="24"/>
        </w:rPr>
        <w:t>. Taking the Agarwal's company, Anandam, from the case study presented, the determinant factors of the available market in India are health</w:t>
      </w:r>
      <w:r w:rsidR="00885793" w:rsidRPr="002B77A4">
        <w:rPr>
          <w:rFonts w:ascii="Times New Roman" w:hAnsi="Times New Roman" w:cs="Times New Roman"/>
          <w:sz w:val="24"/>
          <w:szCs w:val="24"/>
        </w:rPr>
        <w:t>y</w:t>
      </w:r>
      <w:r w:rsidRPr="002B77A4">
        <w:rPr>
          <w:rFonts w:ascii="Times New Roman" w:hAnsi="Times New Roman" w:cs="Times New Roman"/>
          <w:sz w:val="24"/>
          <w:szCs w:val="24"/>
        </w:rPr>
        <w:t xml:space="preserve"> to the establishment of Anandam. This manufacturing company deals with textile production, which is currently a fast-growing sector of the economy. India'</w:t>
      </w:r>
      <w:r w:rsidR="00252843" w:rsidRPr="002B77A4">
        <w:rPr>
          <w:rFonts w:ascii="Times New Roman" w:hAnsi="Times New Roman" w:cs="Times New Roman"/>
          <w:sz w:val="24"/>
          <w:szCs w:val="24"/>
        </w:rPr>
        <w:t>s government has</w:t>
      </w:r>
      <w:r w:rsidRPr="002B77A4">
        <w:rPr>
          <w:rFonts w:ascii="Times New Roman" w:hAnsi="Times New Roman" w:cs="Times New Roman"/>
          <w:sz w:val="24"/>
          <w:szCs w:val="24"/>
        </w:rPr>
        <w:t xml:space="preserve"> crafted policies to support such industries’</w:t>
      </w:r>
      <w:r w:rsidR="00252843" w:rsidRPr="002B77A4">
        <w:rPr>
          <w:rFonts w:ascii="Times New Roman" w:hAnsi="Times New Roman" w:cs="Times New Roman"/>
          <w:sz w:val="24"/>
          <w:szCs w:val="24"/>
        </w:rPr>
        <w:t xml:space="preserve"> operati</w:t>
      </w:r>
      <w:r w:rsidR="00885793" w:rsidRPr="002B77A4">
        <w:rPr>
          <w:rFonts w:ascii="Times New Roman" w:hAnsi="Times New Roman" w:cs="Times New Roman"/>
          <w:sz w:val="24"/>
          <w:szCs w:val="24"/>
        </w:rPr>
        <w:t>ons by laying out a five-year (2</w:t>
      </w:r>
      <w:r w:rsidR="00252843" w:rsidRPr="002B77A4">
        <w:rPr>
          <w:rFonts w:ascii="Times New Roman" w:hAnsi="Times New Roman" w:cs="Times New Roman"/>
          <w:sz w:val="24"/>
          <w:szCs w:val="24"/>
        </w:rPr>
        <w:t>012-2017) training program for its people. This will provide them with the necessary skills needed in manufacturing industries.</w:t>
      </w:r>
    </w:p>
    <w:p w14:paraId="1E4F6A37" w14:textId="1C076A1E" w:rsidR="00252843" w:rsidRPr="002B77A4" w:rsidRDefault="001D1BCE" w:rsidP="00B02864">
      <w:pPr>
        <w:spacing w:line="480" w:lineRule="auto"/>
        <w:ind w:firstLine="720"/>
        <w:rPr>
          <w:rFonts w:ascii="Times New Roman" w:hAnsi="Times New Roman" w:cs="Times New Roman"/>
          <w:sz w:val="24"/>
          <w:szCs w:val="24"/>
        </w:rPr>
      </w:pPr>
      <w:r w:rsidRPr="002B77A4">
        <w:rPr>
          <w:rFonts w:ascii="Times New Roman" w:hAnsi="Times New Roman" w:cs="Times New Roman"/>
          <w:sz w:val="24"/>
          <w:szCs w:val="24"/>
        </w:rPr>
        <w:t>Further, the consumerism of textile products in the Indian population is at its best due to increased income and employment opportunities. The youth is embracing a lifestyle that increases the need for Anandam's products. Incorporation of favorable trade policies by the government, and an escalation of the export opportunities, are the factors that have favored Anandam in the market. However, to get to swim along with these favorable conditions, an entrepreneur must spot a market gap (Jacobi, Freund &amp; Araujo, 2015). Despite Agarwal being in the booming textile industry for almost 12 years</w:t>
      </w:r>
      <w:r w:rsidR="00DE67CE" w:rsidRPr="002B77A4">
        <w:rPr>
          <w:rFonts w:ascii="Times New Roman" w:hAnsi="Times New Roman" w:cs="Times New Roman"/>
          <w:sz w:val="24"/>
          <w:szCs w:val="24"/>
        </w:rPr>
        <w:t xml:space="preserve">, he noted a scarcity </w:t>
      </w:r>
      <w:r w:rsidRPr="002B77A4">
        <w:rPr>
          <w:rFonts w:ascii="Times New Roman" w:hAnsi="Times New Roman" w:cs="Times New Roman"/>
          <w:sz w:val="24"/>
          <w:szCs w:val="24"/>
        </w:rPr>
        <w:t>in providing quality young generation party garments.</w:t>
      </w:r>
      <w:r w:rsidR="00DE67CE" w:rsidRPr="002B77A4">
        <w:rPr>
          <w:rFonts w:ascii="Times New Roman" w:hAnsi="Times New Roman" w:cs="Times New Roman"/>
          <w:sz w:val="24"/>
          <w:szCs w:val="24"/>
        </w:rPr>
        <w:t xml:space="preserve"> He gathered the necessary resources to set up the business. He provided the Rs1.2 million capital, used his residential home as the original business location, and also hired skilled laborers. However, every new venture </w:t>
      </w:r>
      <w:proofErr w:type="gramStart"/>
      <w:r w:rsidR="002B77A4" w:rsidRPr="002B77A4">
        <w:rPr>
          <w:rFonts w:ascii="Times New Roman" w:hAnsi="Times New Roman" w:cs="Times New Roman"/>
          <w:sz w:val="24"/>
          <w:szCs w:val="24"/>
        </w:rPr>
        <w:t>experience</w:t>
      </w:r>
      <w:proofErr w:type="gramEnd"/>
      <w:r w:rsidR="00DE67CE" w:rsidRPr="002B77A4">
        <w:rPr>
          <w:rFonts w:ascii="Times New Roman" w:hAnsi="Times New Roman" w:cs="Times New Roman"/>
          <w:sz w:val="24"/>
          <w:szCs w:val="24"/>
        </w:rPr>
        <w:t xml:space="preserve"> the </w:t>
      </w:r>
      <w:r w:rsidR="00F73883" w:rsidRPr="002B77A4">
        <w:rPr>
          <w:rFonts w:ascii="Times New Roman" w:hAnsi="Times New Roman" w:cs="Times New Roman"/>
          <w:sz w:val="24"/>
          <w:szCs w:val="24"/>
        </w:rPr>
        <w:t>start-ups</w:t>
      </w:r>
      <w:r w:rsidR="00DE67CE" w:rsidRPr="002B77A4">
        <w:rPr>
          <w:rFonts w:ascii="Times New Roman" w:hAnsi="Times New Roman" w:cs="Times New Roman"/>
          <w:sz w:val="24"/>
          <w:szCs w:val="24"/>
        </w:rPr>
        <w:t xml:space="preserve">' drawbacks, as Jacobi, Freund &amp; Araujo </w:t>
      </w:r>
      <w:r w:rsidR="00F73883" w:rsidRPr="002B77A4">
        <w:rPr>
          <w:rFonts w:ascii="Times New Roman" w:hAnsi="Times New Roman" w:cs="Times New Roman"/>
          <w:sz w:val="24"/>
          <w:szCs w:val="24"/>
        </w:rPr>
        <w:t>(2015</w:t>
      </w:r>
      <w:r w:rsidR="00DE67CE" w:rsidRPr="002B77A4">
        <w:rPr>
          <w:rFonts w:ascii="Times New Roman" w:hAnsi="Times New Roman" w:cs="Times New Roman"/>
          <w:sz w:val="24"/>
          <w:szCs w:val="24"/>
        </w:rPr>
        <w:t>) noted, and such is Agarw</w:t>
      </w:r>
      <w:r w:rsidR="00885793" w:rsidRPr="002B77A4">
        <w:rPr>
          <w:rFonts w:ascii="Times New Roman" w:hAnsi="Times New Roman" w:cs="Times New Roman"/>
          <w:sz w:val="24"/>
          <w:szCs w:val="24"/>
        </w:rPr>
        <w:t xml:space="preserve">al's </w:t>
      </w:r>
      <w:r w:rsidR="00885793" w:rsidRPr="002B77A4">
        <w:rPr>
          <w:rFonts w:ascii="Times New Roman" w:hAnsi="Times New Roman" w:cs="Times New Roman"/>
          <w:sz w:val="24"/>
          <w:szCs w:val="24"/>
        </w:rPr>
        <w:lastRenderedPageBreak/>
        <w:t>venture. He did not</w:t>
      </w:r>
      <w:r w:rsidR="00DE67CE" w:rsidRPr="002B77A4">
        <w:rPr>
          <w:rFonts w:ascii="Times New Roman" w:hAnsi="Times New Roman" w:cs="Times New Roman"/>
          <w:sz w:val="24"/>
          <w:szCs w:val="24"/>
        </w:rPr>
        <w:t xml:space="preserve"> possess enough designing skills, and he had to look out for a designer, Ragini Iyer, who would later assist the company in designing the desired garment.</w:t>
      </w:r>
    </w:p>
    <w:p w14:paraId="67AA81FD" w14:textId="77777777" w:rsidR="001573B7" w:rsidRPr="002B77A4" w:rsidRDefault="001D1BCE" w:rsidP="00B02864">
      <w:pPr>
        <w:spacing w:line="480" w:lineRule="auto"/>
        <w:ind w:firstLine="720"/>
        <w:rPr>
          <w:rFonts w:ascii="Times New Roman" w:hAnsi="Times New Roman" w:cs="Times New Roman"/>
          <w:sz w:val="24"/>
          <w:szCs w:val="24"/>
        </w:rPr>
      </w:pPr>
      <w:r w:rsidRPr="002B77A4">
        <w:rPr>
          <w:rFonts w:ascii="Times New Roman" w:hAnsi="Times New Roman" w:cs="Times New Roman"/>
          <w:sz w:val="24"/>
          <w:szCs w:val="24"/>
        </w:rPr>
        <w:t>With continued operations, a desire for the company to expand to increase the market coverage is necessary (Figueroa, 2021). The diversification process adds up some requirements to meet the plan. More funds, increased labor, new locations, and a change or upgrade of the existing production machines are some of the adjustments required. These modifications were similar needs to the Anandam enterprise</w:t>
      </w:r>
      <w:r w:rsidR="00AA203A" w:rsidRPr="002B77A4">
        <w:rPr>
          <w:rFonts w:ascii="Times New Roman" w:hAnsi="Times New Roman" w:cs="Times New Roman"/>
          <w:sz w:val="24"/>
          <w:szCs w:val="24"/>
        </w:rPr>
        <w:t>. However, to achieve the said objective, Agarwal was limited of funds, and he required financing of not less than Rs50 million. The funding was to come from a bank in the form of a loan. To meet the credit award stage, any lending institution does a stringent search to the applicant to prove their financial stability. The stability will affirm the borrower's capability in repaying the loan (Uluc &amp; Wieladek, 2018)</w:t>
      </w:r>
      <w:r w:rsidR="00FB2C83" w:rsidRPr="002B77A4">
        <w:rPr>
          <w:rFonts w:ascii="Times New Roman" w:hAnsi="Times New Roman" w:cs="Times New Roman"/>
          <w:sz w:val="24"/>
          <w:szCs w:val="24"/>
        </w:rPr>
        <w:t>.</w:t>
      </w:r>
    </w:p>
    <w:p w14:paraId="1349C817" w14:textId="77777777" w:rsidR="00FB2C83" w:rsidRPr="002B77A4" w:rsidRDefault="001D1BCE" w:rsidP="00B02864">
      <w:pPr>
        <w:spacing w:line="480" w:lineRule="auto"/>
        <w:ind w:firstLine="720"/>
        <w:rPr>
          <w:rFonts w:ascii="Times New Roman" w:hAnsi="Times New Roman" w:cs="Times New Roman"/>
          <w:sz w:val="24"/>
          <w:szCs w:val="24"/>
        </w:rPr>
      </w:pPr>
      <w:r w:rsidRPr="002B77A4">
        <w:rPr>
          <w:rFonts w:ascii="Times New Roman" w:hAnsi="Times New Roman" w:cs="Times New Roman"/>
          <w:sz w:val="24"/>
          <w:szCs w:val="24"/>
        </w:rPr>
        <w:t xml:space="preserve">In a bid to assess whether the Anandam </w:t>
      </w:r>
      <w:r w:rsidR="00F73883" w:rsidRPr="002B77A4">
        <w:rPr>
          <w:rFonts w:ascii="Times New Roman" w:hAnsi="Times New Roman" w:cs="Times New Roman"/>
          <w:sz w:val="24"/>
          <w:szCs w:val="24"/>
        </w:rPr>
        <w:t>Company</w:t>
      </w:r>
      <w:r w:rsidRPr="002B77A4">
        <w:rPr>
          <w:rFonts w:ascii="Times New Roman" w:hAnsi="Times New Roman" w:cs="Times New Roman"/>
          <w:sz w:val="24"/>
          <w:szCs w:val="24"/>
        </w:rPr>
        <w:t xml:space="preserve"> qualifies for a loan from the bank, an assessment of various financial ratios must be conducted. The ratios will confirm whether the entity has the ability to repay the credit or not</w:t>
      </w:r>
      <w:r w:rsidR="003B0EDE" w:rsidRPr="002B77A4">
        <w:rPr>
          <w:rFonts w:ascii="Times New Roman" w:hAnsi="Times New Roman" w:cs="Times New Roman"/>
          <w:sz w:val="24"/>
          <w:szCs w:val="24"/>
        </w:rPr>
        <w:t xml:space="preserve"> (Kadim, Sunardi &amp; Husain, 2020)</w:t>
      </w:r>
      <w:r w:rsidRPr="002B77A4">
        <w:rPr>
          <w:rFonts w:ascii="Times New Roman" w:hAnsi="Times New Roman" w:cs="Times New Roman"/>
          <w:sz w:val="24"/>
          <w:szCs w:val="24"/>
        </w:rPr>
        <w:t>. To begin with, the company's debt-to-</w:t>
      </w:r>
      <w:r w:rsidR="00885793" w:rsidRPr="002B77A4">
        <w:rPr>
          <w:rFonts w:ascii="Times New Roman" w:hAnsi="Times New Roman" w:cs="Times New Roman"/>
          <w:sz w:val="24"/>
          <w:szCs w:val="24"/>
        </w:rPr>
        <w:t>equity ratio is 35% (0.35). The</w:t>
      </w:r>
      <w:r w:rsidRPr="002B77A4">
        <w:rPr>
          <w:rFonts w:ascii="Times New Roman" w:hAnsi="Times New Roman" w:cs="Times New Roman"/>
          <w:sz w:val="24"/>
          <w:szCs w:val="24"/>
        </w:rPr>
        <w:t xml:space="preserve"> ratio indicates the shareholder's ability to cover all the company's debts using their equity </w:t>
      </w:r>
      <w:r w:rsidR="00F53AFE" w:rsidRPr="002B77A4">
        <w:rPr>
          <w:rFonts w:ascii="Times New Roman" w:hAnsi="Times New Roman" w:cs="Times New Roman"/>
          <w:sz w:val="24"/>
          <w:szCs w:val="24"/>
        </w:rPr>
        <w:t>i</w:t>
      </w:r>
      <w:r w:rsidRPr="002B77A4">
        <w:rPr>
          <w:rFonts w:ascii="Times New Roman" w:hAnsi="Times New Roman" w:cs="Times New Roman"/>
          <w:sz w:val="24"/>
          <w:szCs w:val="24"/>
        </w:rPr>
        <w:t>f the business experienc</w:t>
      </w:r>
      <w:r w:rsidR="00F53AFE" w:rsidRPr="002B77A4">
        <w:rPr>
          <w:rFonts w:ascii="Times New Roman" w:hAnsi="Times New Roman" w:cs="Times New Roman"/>
          <w:sz w:val="24"/>
          <w:szCs w:val="24"/>
        </w:rPr>
        <w:t>es a downturn. Any value above 0.6</w:t>
      </w:r>
      <w:r w:rsidRPr="002B77A4">
        <w:rPr>
          <w:rFonts w:ascii="Times New Roman" w:hAnsi="Times New Roman" w:cs="Times New Roman"/>
          <w:sz w:val="24"/>
          <w:szCs w:val="24"/>
        </w:rPr>
        <w:t xml:space="preserve"> indicates the shareh</w:t>
      </w:r>
      <w:r w:rsidR="00543CD5" w:rsidRPr="002B77A4">
        <w:rPr>
          <w:rFonts w:ascii="Times New Roman" w:hAnsi="Times New Roman" w:cs="Times New Roman"/>
          <w:sz w:val="24"/>
          <w:szCs w:val="24"/>
        </w:rPr>
        <w:t xml:space="preserve">olders' inability to suffice the liabilities while a value below 0.4 is considered healthy, which qualifies the Anandam </w:t>
      </w:r>
      <w:r w:rsidR="00F53AFE" w:rsidRPr="002B77A4">
        <w:rPr>
          <w:rFonts w:ascii="Times New Roman" w:hAnsi="Times New Roman" w:cs="Times New Roman"/>
          <w:sz w:val="24"/>
          <w:szCs w:val="24"/>
        </w:rPr>
        <w:t>Company’s</w:t>
      </w:r>
      <w:r w:rsidR="00543CD5" w:rsidRPr="002B77A4">
        <w:rPr>
          <w:rFonts w:ascii="Times New Roman" w:hAnsi="Times New Roman" w:cs="Times New Roman"/>
          <w:sz w:val="24"/>
          <w:szCs w:val="24"/>
        </w:rPr>
        <w:t xml:space="preserve"> ability to clear debts. Secondly, the quick </w:t>
      </w:r>
      <w:r w:rsidR="00F53AFE" w:rsidRPr="002B77A4">
        <w:rPr>
          <w:rFonts w:ascii="Times New Roman" w:hAnsi="Times New Roman" w:cs="Times New Roman"/>
          <w:sz w:val="24"/>
          <w:szCs w:val="24"/>
        </w:rPr>
        <w:t>ratio, which</w:t>
      </w:r>
      <w:r w:rsidR="00543CD5" w:rsidRPr="002B77A4">
        <w:rPr>
          <w:rFonts w:ascii="Times New Roman" w:hAnsi="Times New Roman" w:cs="Times New Roman"/>
          <w:sz w:val="24"/>
          <w:szCs w:val="24"/>
        </w:rPr>
        <w:t xml:space="preserve"> indicates the company's capability in paying off its current liabilities without selling out the inventory or sourcing finance from outside, is extensively considered. Any value equal to or above one is deemed healthy, and </w:t>
      </w:r>
      <w:r w:rsidR="00F53AFE" w:rsidRPr="002B77A4">
        <w:rPr>
          <w:rFonts w:ascii="Times New Roman" w:hAnsi="Times New Roman" w:cs="Times New Roman"/>
          <w:sz w:val="24"/>
          <w:szCs w:val="24"/>
        </w:rPr>
        <w:t>that is</w:t>
      </w:r>
      <w:r w:rsidR="00543CD5" w:rsidRPr="002B77A4">
        <w:rPr>
          <w:rFonts w:ascii="Times New Roman" w:hAnsi="Times New Roman" w:cs="Times New Roman"/>
          <w:sz w:val="24"/>
          <w:szCs w:val="24"/>
        </w:rPr>
        <w:t xml:space="preserve"> where Anandam's enterprise lies. It has a ratio of 1.20:1. Fina</w:t>
      </w:r>
      <w:r w:rsidR="003B0EDE" w:rsidRPr="002B77A4">
        <w:rPr>
          <w:rFonts w:ascii="Times New Roman" w:hAnsi="Times New Roman" w:cs="Times New Roman"/>
          <w:sz w:val="24"/>
          <w:szCs w:val="24"/>
        </w:rPr>
        <w:t>l</w:t>
      </w:r>
      <w:r w:rsidR="00543CD5" w:rsidRPr="002B77A4">
        <w:rPr>
          <w:rFonts w:ascii="Times New Roman" w:hAnsi="Times New Roman" w:cs="Times New Roman"/>
          <w:sz w:val="24"/>
          <w:szCs w:val="24"/>
        </w:rPr>
        <w:t xml:space="preserve">ly, the total asset turnover </w:t>
      </w:r>
      <w:r w:rsidR="00F53AFE" w:rsidRPr="002B77A4">
        <w:rPr>
          <w:rFonts w:ascii="Times New Roman" w:hAnsi="Times New Roman" w:cs="Times New Roman"/>
          <w:sz w:val="24"/>
          <w:szCs w:val="24"/>
        </w:rPr>
        <w:t>ratio, which</w:t>
      </w:r>
      <w:r w:rsidR="00543CD5" w:rsidRPr="002B77A4">
        <w:rPr>
          <w:rFonts w:ascii="Times New Roman" w:hAnsi="Times New Roman" w:cs="Times New Roman"/>
          <w:sz w:val="24"/>
          <w:szCs w:val="24"/>
        </w:rPr>
        <w:t xml:space="preserve"> confirms an enterprise's potential in producing sufficient revenues at the end of the year using the total assets, is considered to determine the company's </w:t>
      </w:r>
      <w:r w:rsidR="00543CD5" w:rsidRPr="002B77A4">
        <w:rPr>
          <w:rFonts w:ascii="Times New Roman" w:hAnsi="Times New Roman" w:cs="Times New Roman"/>
          <w:sz w:val="24"/>
          <w:szCs w:val="24"/>
        </w:rPr>
        <w:lastRenderedPageBreak/>
        <w:t>stability. Any value less than one is considered not good, while any figure above one, like in the Anandam enterprise (1.1), is deemed to be healthy</w:t>
      </w:r>
      <w:r w:rsidR="003B0EDE" w:rsidRPr="002B77A4">
        <w:rPr>
          <w:rFonts w:ascii="Times New Roman" w:hAnsi="Times New Roman" w:cs="Times New Roman"/>
          <w:sz w:val="24"/>
          <w:szCs w:val="24"/>
        </w:rPr>
        <w:t xml:space="preserve"> (Kadim, Sunardi &amp; Husain, 2020)</w:t>
      </w:r>
      <w:r w:rsidR="00543CD5" w:rsidRPr="002B77A4">
        <w:rPr>
          <w:rFonts w:ascii="Times New Roman" w:hAnsi="Times New Roman" w:cs="Times New Roman"/>
          <w:sz w:val="24"/>
          <w:szCs w:val="24"/>
        </w:rPr>
        <w:t>. The organization can produce enough rev</w:t>
      </w:r>
      <w:r w:rsidR="00885793" w:rsidRPr="002B77A4">
        <w:rPr>
          <w:rFonts w:ascii="Times New Roman" w:hAnsi="Times New Roman" w:cs="Times New Roman"/>
          <w:sz w:val="24"/>
          <w:szCs w:val="24"/>
        </w:rPr>
        <w:t xml:space="preserve">enues from its assets to cater </w:t>
      </w:r>
      <w:r w:rsidR="00543CD5" w:rsidRPr="002B77A4">
        <w:rPr>
          <w:rFonts w:ascii="Times New Roman" w:hAnsi="Times New Roman" w:cs="Times New Roman"/>
          <w:sz w:val="24"/>
          <w:szCs w:val="24"/>
        </w:rPr>
        <w:t xml:space="preserve">to its </w:t>
      </w:r>
      <w:r w:rsidR="003B0EDE" w:rsidRPr="002B77A4">
        <w:rPr>
          <w:rFonts w:ascii="Times New Roman" w:hAnsi="Times New Roman" w:cs="Times New Roman"/>
          <w:sz w:val="24"/>
          <w:szCs w:val="24"/>
        </w:rPr>
        <w:t>expenditures.</w:t>
      </w:r>
    </w:p>
    <w:p w14:paraId="108DD387" w14:textId="77777777" w:rsidR="003B0EDE" w:rsidRPr="002B77A4" w:rsidRDefault="001D1BCE" w:rsidP="00B02864">
      <w:pPr>
        <w:spacing w:line="480" w:lineRule="auto"/>
        <w:ind w:firstLine="720"/>
        <w:rPr>
          <w:rFonts w:ascii="Times New Roman" w:hAnsi="Times New Roman" w:cs="Times New Roman"/>
          <w:sz w:val="24"/>
          <w:szCs w:val="24"/>
        </w:rPr>
      </w:pPr>
      <w:r w:rsidRPr="002B77A4">
        <w:rPr>
          <w:rFonts w:ascii="Times New Roman" w:hAnsi="Times New Roman" w:cs="Times New Roman"/>
          <w:sz w:val="24"/>
          <w:szCs w:val="24"/>
        </w:rPr>
        <w:t xml:space="preserve">Following the assessment of the above three </w:t>
      </w:r>
      <w:r w:rsidR="00885793" w:rsidRPr="002B77A4">
        <w:rPr>
          <w:rFonts w:ascii="Times New Roman" w:hAnsi="Times New Roman" w:cs="Times New Roman"/>
          <w:sz w:val="24"/>
          <w:szCs w:val="24"/>
        </w:rPr>
        <w:t>ratios, I support the loan award</w:t>
      </w:r>
      <w:r w:rsidRPr="002B77A4">
        <w:rPr>
          <w:rFonts w:ascii="Times New Roman" w:hAnsi="Times New Roman" w:cs="Times New Roman"/>
          <w:sz w:val="24"/>
          <w:szCs w:val="24"/>
        </w:rPr>
        <w:t xml:space="preserve"> to the Anandam company. The organization has healthy financial ratios that prove its ability to repay the future credit extensions from the lending institution. However, just like any other business venture, the company has a big room for improvement in its receivable turnover ratio</w:t>
      </w:r>
      <w:r w:rsidR="00F73883" w:rsidRPr="002B77A4">
        <w:rPr>
          <w:rFonts w:ascii="Times New Roman" w:hAnsi="Times New Roman" w:cs="Times New Roman"/>
          <w:sz w:val="24"/>
          <w:szCs w:val="24"/>
        </w:rPr>
        <w:t xml:space="preserve"> (7 times)</w:t>
      </w:r>
      <w:r w:rsidRPr="002B77A4">
        <w:rPr>
          <w:rFonts w:ascii="Times New Roman" w:hAnsi="Times New Roman" w:cs="Times New Roman"/>
          <w:sz w:val="24"/>
          <w:szCs w:val="24"/>
        </w:rPr>
        <w:t xml:space="preserve"> as well as the receivables days</w:t>
      </w:r>
      <w:r w:rsidR="00F73883" w:rsidRPr="002B77A4">
        <w:rPr>
          <w:rFonts w:ascii="Times New Roman" w:hAnsi="Times New Roman" w:cs="Times New Roman"/>
          <w:sz w:val="24"/>
          <w:szCs w:val="24"/>
        </w:rPr>
        <w:t xml:space="preserve"> (52 days)</w:t>
      </w:r>
      <w:r w:rsidRPr="002B77A4">
        <w:rPr>
          <w:rFonts w:ascii="Times New Roman" w:hAnsi="Times New Roman" w:cs="Times New Roman"/>
          <w:sz w:val="24"/>
          <w:szCs w:val="24"/>
        </w:rPr>
        <w:t xml:space="preserve">.  From the case study, the company lacks better structures and systems for managing its credit extension to its customers. This results in </w:t>
      </w:r>
      <w:r w:rsidR="00686FF3" w:rsidRPr="002B77A4">
        <w:rPr>
          <w:rFonts w:ascii="Times New Roman" w:hAnsi="Times New Roman" w:cs="Times New Roman"/>
          <w:sz w:val="24"/>
          <w:szCs w:val="24"/>
        </w:rPr>
        <w:t>customers paying the</w:t>
      </w:r>
      <w:r w:rsidR="00F73883" w:rsidRPr="002B77A4">
        <w:rPr>
          <w:rFonts w:ascii="Times New Roman" w:hAnsi="Times New Roman" w:cs="Times New Roman"/>
          <w:sz w:val="24"/>
          <w:szCs w:val="24"/>
        </w:rPr>
        <w:t>ir credit when it is overdue. A strategy to reduce the receivable days to around 30 or below and increase the receivable turnover ratio must be put in place to improve the company's financial strength (Kadim, Sunardi &amp; Husain, 2020).</w:t>
      </w:r>
    </w:p>
    <w:p w14:paraId="2BF8AC39" w14:textId="77777777" w:rsidR="00F73883" w:rsidRPr="002B77A4" w:rsidRDefault="001D1BCE" w:rsidP="00B02864">
      <w:pPr>
        <w:spacing w:line="480" w:lineRule="auto"/>
        <w:ind w:firstLine="720"/>
        <w:rPr>
          <w:rFonts w:ascii="Times New Roman" w:hAnsi="Times New Roman" w:cs="Times New Roman"/>
          <w:sz w:val="24"/>
          <w:szCs w:val="24"/>
        </w:rPr>
      </w:pPr>
      <w:r w:rsidRPr="002B77A4">
        <w:rPr>
          <w:rFonts w:ascii="Times New Roman" w:hAnsi="Times New Roman" w:cs="Times New Roman"/>
          <w:sz w:val="24"/>
          <w:szCs w:val="24"/>
        </w:rPr>
        <w:t xml:space="preserve">The solution to the above challenge in Anandam company can be solved through the following: doing an initial screening to the buyers before extending any loan to them, retaining proper and updated records on when the credits are issued as well as when they are overdue, the management setting clear payment terms with the inclusion of penalties to the defaulters, employing a qualified debt collector to </w:t>
      </w:r>
      <w:r w:rsidR="00F53AFE" w:rsidRPr="002B77A4">
        <w:rPr>
          <w:rFonts w:ascii="Times New Roman" w:hAnsi="Times New Roman" w:cs="Times New Roman"/>
          <w:sz w:val="24"/>
          <w:szCs w:val="24"/>
        </w:rPr>
        <w:t>follow up</w:t>
      </w:r>
      <w:r w:rsidRPr="002B77A4">
        <w:rPr>
          <w:rFonts w:ascii="Times New Roman" w:hAnsi="Times New Roman" w:cs="Times New Roman"/>
          <w:sz w:val="24"/>
          <w:szCs w:val="24"/>
        </w:rPr>
        <w:t xml:space="preserve"> the borrowers, and also providing flexible repayment options for the customers who are struggling to pay the </w:t>
      </w:r>
      <w:r w:rsidR="00F53AFE" w:rsidRPr="002B77A4">
        <w:rPr>
          <w:rFonts w:ascii="Times New Roman" w:hAnsi="Times New Roman" w:cs="Times New Roman"/>
          <w:sz w:val="24"/>
          <w:szCs w:val="24"/>
        </w:rPr>
        <w:t>lump sum</w:t>
      </w:r>
      <w:r w:rsidRPr="002B77A4">
        <w:rPr>
          <w:rFonts w:ascii="Times New Roman" w:hAnsi="Times New Roman" w:cs="Times New Roman"/>
          <w:sz w:val="24"/>
          <w:szCs w:val="24"/>
        </w:rPr>
        <w:t xml:space="preserve"> money to the company (Kadim, Sunardi &amp; Husain, 2020).</w:t>
      </w:r>
    </w:p>
    <w:p w14:paraId="29A13423" w14:textId="77777777" w:rsidR="002B77A4" w:rsidRDefault="002B77A4">
      <w:pPr>
        <w:rPr>
          <w:rFonts w:ascii="Times New Roman" w:hAnsi="Times New Roman" w:cs="Times New Roman"/>
          <w:b/>
          <w:bCs/>
          <w:sz w:val="24"/>
          <w:szCs w:val="24"/>
        </w:rPr>
      </w:pPr>
      <w:r>
        <w:rPr>
          <w:rFonts w:ascii="Times New Roman" w:hAnsi="Times New Roman" w:cs="Times New Roman"/>
          <w:b/>
          <w:bCs/>
          <w:sz w:val="24"/>
          <w:szCs w:val="24"/>
        </w:rPr>
        <w:br w:type="page"/>
      </w:r>
    </w:p>
    <w:p w14:paraId="12862805" w14:textId="59E4626F" w:rsidR="00B13987" w:rsidRPr="002B77A4" w:rsidRDefault="001D1BCE" w:rsidP="00B02864">
      <w:pPr>
        <w:spacing w:line="480" w:lineRule="auto"/>
        <w:jc w:val="center"/>
        <w:rPr>
          <w:rFonts w:ascii="Times New Roman" w:hAnsi="Times New Roman" w:cs="Times New Roman"/>
          <w:b/>
          <w:bCs/>
          <w:sz w:val="24"/>
          <w:szCs w:val="24"/>
        </w:rPr>
      </w:pPr>
      <w:r w:rsidRPr="002B77A4">
        <w:rPr>
          <w:rFonts w:ascii="Times New Roman" w:hAnsi="Times New Roman" w:cs="Times New Roman"/>
          <w:b/>
          <w:bCs/>
          <w:sz w:val="24"/>
          <w:szCs w:val="24"/>
        </w:rPr>
        <w:lastRenderedPageBreak/>
        <w:t>References</w:t>
      </w:r>
    </w:p>
    <w:p w14:paraId="28B6B0EF" w14:textId="77777777" w:rsidR="002B77A4" w:rsidRPr="002B77A4" w:rsidRDefault="002B77A4" w:rsidP="00B02864">
      <w:pPr>
        <w:spacing w:line="480" w:lineRule="auto"/>
        <w:ind w:left="720" w:hanging="720"/>
        <w:rPr>
          <w:rFonts w:ascii="Times New Roman" w:hAnsi="Times New Roman" w:cs="Times New Roman"/>
          <w:sz w:val="24"/>
          <w:szCs w:val="24"/>
          <w:shd w:val="clear" w:color="auto" w:fill="FFFFFF"/>
        </w:rPr>
      </w:pPr>
      <w:proofErr w:type="spellStart"/>
      <w:r w:rsidRPr="002B77A4">
        <w:rPr>
          <w:rFonts w:ascii="Times New Roman" w:hAnsi="Times New Roman" w:cs="Times New Roman"/>
          <w:sz w:val="24"/>
          <w:szCs w:val="24"/>
          <w:shd w:val="clear" w:color="auto" w:fill="FFFFFF"/>
        </w:rPr>
        <w:t>Ayadi</w:t>
      </w:r>
      <w:proofErr w:type="spellEnd"/>
      <w:r w:rsidRPr="002B77A4">
        <w:rPr>
          <w:rFonts w:ascii="Times New Roman" w:hAnsi="Times New Roman" w:cs="Times New Roman"/>
          <w:sz w:val="24"/>
          <w:szCs w:val="24"/>
          <w:shd w:val="clear" w:color="auto" w:fill="FFFFFF"/>
        </w:rPr>
        <w:t>, R. (2019). Bank Business Models and Financial Stability Assessment. In </w:t>
      </w:r>
      <w:r w:rsidRPr="002B77A4">
        <w:rPr>
          <w:rFonts w:ascii="Times New Roman" w:hAnsi="Times New Roman" w:cs="Times New Roman"/>
          <w:i/>
          <w:iCs/>
          <w:sz w:val="24"/>
          <w:szCs w:val="24"/>
          <w:shd w:val="clear" w:color="auto" w:fill="FFFFFF"/>
        </w:rPr>
        <w:t>Banking Business Models</w:t>
      </w:r>
      <w:r w:rsidRPr="002B77A4">
        <w:rPr>
          <w:rFonts w:ascii="Times New Roman" w:hAnsi="Times New Roman" w:cs="Times New Roman"/>
          <w:sz w:val="24"/>
          <w:szCs w:val="24"/>
          <w:shd w:val="clear" w:color="auto" w:fill="FFFFFF"/>
        </w:rPr>
        <w:t> (pp. 57-66). Palgrave Macmillan, Cham.</w:t>
      </w:r>
    </w:p>
    <w:p w14:paraId="03AE8D41" w14:textId="77777777" w:rsidR="002B77A4" w:rsidRPr="002B77A4" w:rsidRDefault="002B77A4" w:rsidP="00B02864">
      <w:pPr>
        <w:spacing w:line="480" w:lineRule="auto"/>
        <w:ind w:left="720" w:hanging="720"/>
        <w:rPr>
          <w:rFonts w:ascii="Times New Roman" w:hAnsi="Times New Roman" w:cs="Times New Roman"/>
          <w:sz w:val="24"/>
          <w:szCs w:val="24"/>
          <w:shd w:val="clear" w:color="auto" w:fill="FFFFFF"/>
        </w:rPr>
      </w:pPr>
      <w:r w:rsidRPr="002B77A4">
        <w:rPr>
          <w:rFonts w:ascii="Times New Roman" w:hAnsi="Times New Roman" w:cs="Times New Roman"/>
          <w:sz w:val="24"/>
          <w:szCs w:val="24"/>
          <w:shd w:val="clear" w:color="auto" w:fill="FFFFFF"/>
        </w:rPr>
        <w:t>Figueroa Hiraldo, K. (2021). Business Expansion Design for Challenge Fitness Studio Using DMADV Methodology. </w:t>
      </w:r>
      <w:r w:rsidRPr="002B77A4">
        <w:rPr>
          <w:rFonts w:ascii="Times New Roman" w:hAnsi="Times New Roman" w:cs="Times New Roman"/>
          <w:i/>
          <w:iCs/>
          <w:sz w:val="24"/>
          <w:szCs w:val="24"/>
          <w:shd w:val="clear" w:color="auto" w:fill="FFFFFF"/>
        </w:rPr>
        <w:t>Manufacturing Engineering Program;</w:t>
      </w:r>
    </w:p>
    <w:p w14:paraId="5A6DB494" w14:textId="77777777" w:rsidR="002B77A4" w:rsidRPr="002B77A4" w:rsidRDefault="002B77A4" w:rsidP="00B02864">
      <w:pPr>
        <w:spacing w:line="480" w:lineRule="auto"/>
        <w:ind w:left="720" w:hanging="720"/>
        <w:rPr>
          <w:rFonts w:ascii="Times New Roman" w:hAnsi="Times New Roman" w:cs="Times New Roman"/>
          <w:sz w:val="24"/>
          <w:szCs w:val="24"/>
          <w:shd w:val="clear" w:color="auto" w:fill="FFFFFF"/>
        </w:rPr>
      </w:pPr>
      <w:r w:rsidRPr="002B77A4">
        <w:rPr>
          <w:rFonts w:ascii="Times New Roman" w:hAnsi="Times New Roman" w:cs="Times New Roman"/>
          <w:sz w:val="24"/>
          <w:szCs w:val="24"/>
          <w:shd w:val="clear" w:color="auto" w:fill="FFFFFF"/>
        </w:rPr>
        <w:t>Jacobi, E. S., Freund, J., &amp; Araujo, L. (2015). ‘Is there a gap in the market, and is there a market in the gap?’How advertising planning performs markets. </w:t>
      </w:r>
      <w:r w:rsidRPr="002B77A4">
        <w:rPr>
          <w:rFonts w:ascii="Times New Roman" w:hAnsi="Times New Roman" w:cs="Times New Roman"/>
          <w:i/>
          <w:iCs/>
          <w:sz w:val="24"/>
          <w:szCs w:val="24"/>
          <w:shd w:val="clear" w:color="auto" w:fill="FFFFFF"/>
        </w:rPr>
        <w:t>Journal of Marketing Management</w:t>
      </w:r>
      <w:r w:rsidRPr="002B77A4">
        <w:rPr>
          <w:rFonts w:ascii="Times New Roman" w:hAnsi="Times New Roman" w:cs="Times New Roman"/>
          <w:sz w:val="24"/>
          <w:szCs w:val="24"/>
          <w:shd w:val="clear" w:color="auto" w:fill="FFFFFF"/>
        </w:rPr>
        <w:t>, </w:t>
      </w:r>
      <w:r w:rsidRPr="002B77A4">
        <w:rPr>
          <w:rFonts w:ascii="Times New Roman" w:hAnsi="Times New Roman" w:cs="Times New Roman"/>
          <w:i/>
          <w:iCs/>
          <w:sz w:val="24"/>
          <w:szCs w:val="24"/>
          <w:shd w:val="clear" w:color="auto" w:fill="FFFFFF"/>
        </w:rPr>
        <w:t>31</w:t>
      </w:r>
      <w:r w:rsidRPr="002B77A4">
        <w:rPr>
          <w:rFonts w:ascii="Times New Roman" w:hAnsi="Times New Roman" w:cs="Times New Roman"/>
          <w:sz w:val="24"/>
          <w:szCs w:val="24"/>
          <w:shd w:val="clear" w:color="auto" w:fill="FFFFFF"/>
        </w:rPr>
        <w:t>(1-2), 37-61.</w:t>
      </w:r>
    </w:p>
    <w:p w14:paraId="3DB573EC" w14:textId="77777777" w:rsidR="002B77A4" w:rsidRPr="002B77A4" w:rsidRDefault="002B77A4" w:rsidP="00B02864">
      <w:pPr>
        <w:spacing w:line="480" w:lineRule="auto"/>
        <w:ind w:left="720" w:hanging="720"/>
        <w:rPr>
          <w:rFonts w:ascii="Times New Roman" w:hAnsi="Times New Roman" w:cs="Times New Roman"/>
          <w:sz w:val="24"/>
          <w:szCs w:val="24"/>
          <w:shd w:val="clear" w:color="auto" w:fill="FFFFFF"/>
        </w:rPr>
      </w:pPr>
      <w:r w:rsidRPr="002B77A4">
        <w:rPr>
          <w:rFonts w:ascii="Times New Roman" w:hAnsi="Times New Roman" w:cs="Times New Roman"/>
          <w:sz w:val="24"/>
          <w:szCs w:val="24"/>
          <w:shd w:val="clear" w:color="auto" w:fill="FFFFFF"/>
        </w:rPr>
        <w:t xml:space="preserve">Kadim, A., Sunardi, N., &amp; Husain, T. (2020). The modeling firm's value is based on financial ratios, intellectual capital, and dividend policy. </w:t>
      </w:r>
      <w:r w:rsidRPr="002B77A4">
        <w:rPr>
          <w:rFonts w:ascii="Times New Roman" w:hAnsi="Times New Roman" w:cs="Times New Roman"/>
          <w:i/>
          <w:iCs/>
          <w:sz w:val="24"/>
          <w:szCs w:val="24"/>
          <w:shd w:val="clear" w:color="auto" w:fill="FFFFFF"/>
        </w:rPr>
        <w:t>Accounting</w:t>
      </w:r>
      <w:r w:rsidRPr="002B77A4">
        <w:rPr>
          <w:rFonts w:ascii="Times New Roman" w:hAnsi="Times New Roman" w:cs="Times New Roman"/>
          <w:sz w:val="24"/>
          <w:szCs w:val="24"/>
          <w:shd w:val="clear" w:color="auto" w:fill="FFFFFF"/>
        </w:rPr>
        <w:t>, </w:t>
      </w:r>
      <w:r w:rsidRPr="002B77A4">
        <w:rPr>
          <w:rFonts w:ascii="Times New Roman" w:hAnsi="Times New Roman" w:cs="Times New Roman"/>
          <w:i/>
          <w:iCs/>
          <w:sz w:val="24"/>
          <w:szCs w:val="24"/>
          <w:shd w:val="clear" w:color="auto" w:fill="FFFFFF"/>
        </w:rPr>
        <w:t>6</w:t>
      </w:r>
      <w:r w:rsidRPr="002B77A4">
        <w:rPr>
          <w:rFonts w:ascii="Times New Roman" w:hAnsi="Times New Roman" w:cs="Times New Roman"/>
          <w:sz w:val="24"/>
          <w:szCs w:val="24"/>
          <w:shd w:val="clear" w:color="auto" w:fill="FFFFFF"/>
        </w:rPr>
        <w:t>(5), 859-870.</w:t>
      </w:r>
    </w:p>
    <w:p w14:paraId="752CFC9F" w14:textId="77777777" w:rsidR="002B77A4" w:rsidRPr="002B77A4" w:rsidRDefault="002B77A4" w:rsidP="00B02864">
      <w:pPr>
        <w:spacing w:line="480" w:lineRule="auto"/>
        <w:ind w:left="720" w:hanging="720"/>
        <w:rPr>
          <w:rFonts w:ascii="Times New Roman" w:hAnsi="Times New Roman" w:cs="Times New Roman"/>
          <w:sz w:val="24"/>
          <w:szCs w:val="24"/>
        </w:rPr>
      </w:pPr>
      <w:r w:rsidRPr="002B77A4">
        <w:rPr>
          <w:rFonts w:ascii="Times New Roman" w:hAnsi="Times New Roman" w:cs="Times New Roman"/>
          <w:sz w:val="24"/>
          <w:szCs w:val="24"/>
          <w:shd w:val="clear" w:color="auto" w:fill="FFFFFF"/>
        </w:rPr>
        <w:t xml:space="preserve">Uluc, A., &amp; Wieladek, T. (2018). Capital requirements, monetary policy, and risk shifting in the mortgage market. </w:t>
      </w:r>
      <w:r w:rsidRPr="002B77A4">
        <w:rPr>
          <w:rFonts w:ascii="Times New Roman" w:hAnsi="Times New Roman" w:cs="Times New Roman"/>
          <w:i/>
          <w:iCs/>
          <w:sz w:val="24"/>
          <w:szCs w:val="24"/>
          <w:shd w:val="clear" w:color="auto" w:fill="FFFFFF"/>
        </w:rPr>
        <w:t>Journal of Financial Intermediation</w:t>
      </w:r>
      <w:r w:rsidRPr="002B77A4">
        <w:rPr>
          <w:rFonts w:ascii="Times New Roman" w:hAnsi="Times New Roman" w:cs="Times New Roman"/>
          <w:sz w:val="24"/>
          <w:szCs w:val="24"/>
          <w:shd w:val="clear" w:color="auto" w:fill="FFFFFF"/>
        </w:rPr>
        <w:t>, </w:t>
      </w:r>
      <w:r w:rsidRPr="002B77A4">
        <w:rPr>
          <w:rFonts w:ascii="Times New Roman" w:hAnsi="Times New Roman" w:cs="Times New Roman"/>
          <w:i/>
          <w:iCs/>
          <w:sz w:val="24"/>
          <w:szCs w:val="24"/>
          <w:shd w:val="clear" w:color="auto" w:fill="FFFFFF"/>
        </w:rPr>
        <w:t>35</w:t>
      </w:r>
      <w:r w:rsidRPr="002B77A4">
        <w:rPr>
          <w:rFonts w:ascii="Times New Roman" w:hAnsi="Times New Roman" w:cs="Times New Roman"/>
          <w:sz w:val="24"/>
          <w:szCs w:val="24"/>
          <w:shd w:val="clear" w:color="auto" w:fill="FFFFFF"/>
        </w:rPr>
        <w:t>, 3-16.</w:t>
      </w:r>
    </w:p>
    <w:p w14:paraId="63CF6A4C" w14:textId="77777777" w:rsidR="006110E2" w:rsidRPr="002B77A4" w:rsidRDefault="006110E2" w:rsidP="00B02864">
      <w:pPr>
        <w:spacing w:line="480" w:lineRule="auto"/>
        <w:rPr>
          <w:rFonts w:ascii="Times New Roman" w:hAnsi="Times New Roman" w:cs="Times New Roman"/>
          <w:sz w:val="24"/>
          <w:szCs w:val="24"/>
        </w:rPr>
      </w:pPr>
    </w:p>
    <w:sectPr w:rsidR="006110E2" w:rsidRPr="002B77A4">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CD51B" w14:textId="77777777" w:rsidR="007C62CD" w:rsidRDefault="007C62CD" w:rsidP="0029527B">
      <w:pPr>
        <w:spacing w:after="0" w:line="240" w:lineRule="auto"/>
      </w:pPr>
      <w:r>
        <w:separator/>
      </w:r>
    </w:p>
  </w:endnote>
  <w:endnote w:type="continuationSeparator" w:id="0">
    <w:p w14:paraId="06FE1F22" w14:textId="77777777" w:rsidR="007C62CD" w:rsidRDefault="007C62CD" w:rsidP="00295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C955A" w14:textId="77777777" w:rsidR="007C62CD" w:rsidRDefault="007C62CD" w:rsidP="0029527B">
      <w:pPr>
        <w:spacing w:after="0" w:line="240" w:lineRule="auto"/>
      </w:pPr>
      <w:r>
        <w:separator/>
      </w:r>
    </w:p>
  </w:footnote>
  <w:footnote w:type="continuationSeparator" w:id="0">
    <w:p w14:paraId="266C9455" w14:textId="77777777" w:rsidR="007C62CD" w:rsidRDefault="007C62CD" w:rsidP="002952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200458"/>
      <w:docPartObj>
        <w:docPartGallery w:val="Page Numbers (Top of Page)"/>
        <w:docPartUnique/>
      </w:docPartObj>
    </w:sdtPr>
    <w:sdtEndPr>
      <w:rPr>
        <w:noProof/>
      </w:rPr>
    </w:sdtEndPr>
    <w:sdtContent>
      <w:p w14:paraId="2F869512" w14:textId="77777777" w:rsidR="0029527B" w:rsidRDefault="0029527B">
        <w:pPr>
          <w:pStyle w:val="Header"/>
          <w:jc w:val="right"/>
        </w:pPr>
        <w:r>
          <w:fldChar w:fldCharType="begin"/>
        </w:r>
        <w:r>
          <w:instrText xml:space="preserve"> PAGE   \* MERGEFORMAT </w:instrText>
        </w:r>
        <w:r>
          <w:fldChar w:fldCharType="separate"/>
        </w:r>
        <w:r>
          <w:rPr>
            <w:noProof/>
          </w:rPr>
          <w:t>5</w:t>
        </w:r>
        <w:r>
          <w:rPr>
            <w:noProof/>
          </w:rPr>
          <w:fldChar w:fldCharType="end"/>
        </w:r>
      </w:p>
    </w:sdtContent>
  </w:sdt>
  <w:p w14:paraId="59119CE5" w14:textId="77777777" w:rsidR="0029527B" w:rsidRDefault="002952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0E2"/>
    <w:rsid w:val="00003369"/>
    <w:rsid w:val="001573B7"/>
    <w:rsid w:val="001D1BCE"/>
    <w:rsid w:val="00252843"/>
    <w:rsid w:val="0028671E"/>
    <w:rsid w:val="0029527B"/>
    <w:rsid w:val="002B77A4"/>
    <w:rsid w:val="0034325A"/>
    <w:rsid w:val="003B0EDE"/>
    <w:rsid w:val="00533079"/>
    <w:rsid w:val="00543CD5"/>
    <w:rsid w:val="006110E2"/>
    <w:rsid w:val="00686FF3"/>
    <w:rsid w:val="007C62CD"/>
    <w:rsid w:val="00885793"/>
    <w:rsid w:val="008F27D9"/>
    <w:rsid w:val="00AA203A"/>
    <w:rsid w:val="00B02864"/>
    <w:rsid w:val="00B13987"/>
    <w:rsid w:val="00CB7A31"/>
    <w:rsid w:val="00DC2763"/>
    <w:rsid w:val="00DE67CE"/>
    <w:rsid w:val="00DF795F"/>
    <w:rsid w:val="00EF02AE"/>
    <w:rsid w:val="00F2791F"/>
    <w:rsid w:val="00F53AFE"/>
    <w:rsid w:val="00F73883"/>
    <w:rsid w:val="00FB2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BCCB6"/>
  <w15:chartTrackingRefBased/>
  <w15:docId w15:val="{AC8B10D9-FCAF-4DD5-950C-0446FA0B7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2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27B"/>
  </w:style>
  <w:style w:type="paragraph" w:styleId="Footer">
    <w:name w:val="footer"/>
    <w:basedOn w:val="Normal"/>
    <w:link w:val="FooterChar"/>
    <w:uiPriority w:val="99"/>
    <w:unhideWhenUsed/>
    <w:rsid w:val="002952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1026</Words>
  <Characters>5851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ADMIN</cp:lastModifiedBy>
  <cp:revision>2</cp:revision>
  <dcterms:created xsi:type="dcterms:W3CDTF">2021-09-04T18:26:00Z</dcterms:created>
  <dcterms:modified xsi:type="dcterms:W3CDTF">2021-09-04T18:26:00Z</dcterms:modified>
</cp:coreProperties>
</file>